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198C">
        <w:rPr>
          <w:rFonts w:ascii="Arial" w:hAnsi="Arial" w:cs="Arial"/>
          <w:b/>
          <w:bCs/>
        </w:rPr>
        <w:t>04</w:t>
      </w:r>
      <w:r w:rsidR="00093FDF">
        <w:rPr>
          <w:rFonts w:ascii="Arial" w:hAnsi="Arial" w:cs="Arial"/>
          <w:b/>
          <w:bCs/>
        </w:rPr>
        <w:t>5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do setor municipal competente, </w:t>
      </w:r>
      <w:r w:rsidR="0001198C">
        <w:rPr>
          <w:rFonts w:ascii="Arial" w:hAnsi="Arial" w:cs="Arial"/>
        </w:rPr>
        <w:t xml:space="preserve">realize </w:t>
      </w:r>
      <w:r w:rsidR="00611A91">
        <w:rPr>
          <w:rFonts w:ascii="Arial" w:hAnsi="Arial" w:cs="Arial"/>
        </w:rPr>
        <w:t xml:space="preserve">a instalação de placas de proibido estacionar na Rua Francisco Xavier Gomes, Bairro Primavera, no trecho </w:t>
      </w:r>
      <w:r w:rsidR="003D3F1F">
        <w:rPr>
          <w:rFonts w:ascii="Arial" w:hAnsi="Arial" w:cs="Arial"/>
        </w:rPr>
        <w:t>próximo ao escadão que compreende</w:t>
      </w:r>
      <w:r w:rsidR="00611A91">
        <w:rPr>
          <w:rFonts w:ascii="Arial" w:hAnsi="Arial" w:cs="Arial"/>
        </w:rPr>
        <w:t xml:space="preserve"> os números 174 </w:t>
      </w:r>
      <w:r w:rsidR="003D3F1F">
        <w:rPr>
          <w:rFonts w:ascii="Arial" w:hAnsi="Arial" w:cs="Arial"/>
        </w:rPr>
        <w:t>ao</w:t>
      </w:r>
      <w:r w:rsidR="00611A91">
        <w:rPr>
          <w:rFonts w:ascii="Arial" w:hAnsi="Arial" w:cs="Arial"/>
        </w:rPr>
        <w:t xml:space="preserve"> 695, devido aos inúmeros transtornos ocasionados aos moradores</w:t>
      </w:r>
      <w:r w:rsidR="0052395D">
        <w:rPr>
          <w:rFonts w:ascii="Arial" w:hAnsi="Arial" w:cs="Arial"/>
        </w:rPr>
        <w:t>, a pedido dos moradores</w:t>
      </w:r>
      <w:r w:rsidR="005F3700">
        <w:rPr>
          <w:rFonts w:ascii="Arial" w:hAnsi="Arial" w:cs="Arial"/>
        </w:rPr>
        <w:t xml:space="preserve"> e do suplente de vereador Ademir do Tanquinho</w:t>
      </w:r>
      <w:r w:rsidR="0052395D">
        <w:rPr>
          <w:rFonts w:ascii="Arial" w:hAnsi="Arial" w:cs="Arial"/>
        </w:rPr>
        <w:t>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11A91" w:rsidRDefault="00611A91" w:rsidP="00611A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JOSELI ANÍSIO PINTO</w:t>
      </w:r>
    </w:p>
    <w:p w:rsidR="00611A91" w:rsidRDefault="00611A91" w:rsidP="00611A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(JOSELI DE UBARI)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624" w:rsidRDefault="00657624" w:rsidP="00443F87">
      <w:pPr>
        <w:spacing w:after="0" w:line="240" w:lineRule="auto"/>
      </w:pPr>
      <w:r>
        <w:separator/>
      </w:r>
    </w:p>
  </w:endnote>
  <w:endnote w:type="continuationSeparator" w:id="0">
    <w:p w:rsidR="00657624" w:rsidRDefault="0065762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624" w:rsidRDefault="00657624" w:rsidP="00443F87">
      <w:pPr>
        <w:spacing w:after="0" w:line="240" w:lineRule="auto"/>
      </w:pPr>
      <w:r>
        <w:separator/>
      </w:r>
    </w:p>
  </w:footnote>
  <w:footnote w:type="continuationSeparator" w:id="0">
    <w:p w:rsidR="00657624" w:rsidRDefault="0065762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940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2474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3FDF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3E9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3F1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95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3700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A91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0BE0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57624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496A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274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40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8DA7-CFB0-4EB8-ACFC-43D319B2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84</cp:revision>
  <cp:lastPrinted>2017-11-06T12:06:00Z</cp:lastPrinted>
  <dcterms:created xsi:type="dcterms:W3CDTF">2017-09-04T18:31:00Z</dcterms:created>
  <dcterms:modified xsi:type="dcterms:W3CDTF">2018-03-02T17:29:00Z</dcterms:modified>
</cp:coreProperties>
</file>